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проектов по внедрению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к.г.н., доцент _________________ /Червенчк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проектов по внедрению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К.М.01.ДВ.03.02 «Оценка проектов по внедрению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проектов по внедрению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языки программирования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знать регламенты кодирования на языках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ИПК-1.8 знать языки современных бизнес-приложений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ИПК-1.10 знать теорию баз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основы управления коммуникациями в проекте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тестировать результаты прототипирования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навыками разработки структуры программного кода ИС</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навыками верификации программного кода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К.М.01.ДВ.03.02 «Оценка проектов по внедрению информационных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внедрением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управления информационными технологиями  COBIT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ИТ-аутсорсинг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управления информационными системами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методы управления ИТ и процессный подход. Управление ИТ и процессная модель COBIT. Назначение COBIT 5. Основные понятия и описание структуры COBIT 5. Процессная модель COBIT 5. Структура описания процесса в COBIT 5. Роль и место модели зрелости в процессной модели COBIT. Особенности подхода COBIT к определению зрелости. Управление рисками в ИТ и процессная модель Risk IT. Основные понятия и описание структуры Risk IT. Процессная модель Risk IT. Особенности подхода Risk IT к определению зрелости. Взаимосвязи Risk IT, Val IT и COBIT 5. Стандарт ISO 31000 и сравнение подходов к управлению рисками. Управление инвестициями в ИТ и процессная модель Val IT.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 Понятие длительности операций, периода времени выполнения операций. Разработка расписания.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стоимостью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Стоимостная оценка проекта. Классификация оценок стоимости. Типы оценок: сверху- вниз, снизу-вверх, параметрическая, по аналогам. Оценка стоимости операций. Вспомогательные данные для оценки стоимости операций. Разработка бюджетов расходов. Базовый план по стоимости.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управления информационными технологиями  COBIT   (Круглый стол)</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COBIT заключается в ликвидации разрыва между руководством компании с их виде-нием бизнес-целей и IT-департаментом, осуществляющим поддержку информационной ин-фраструктуры, которая должна способствовать достижению бизнес- целей.</w:t>
            </w:r>
          </w:p>
          <w:p>
            <w:pPr>
              <w:jc w:val="both"/>
              <w:spacing w:after="0" w:line="240" w:lineRule="auto"/>
              <w:rPr>
                <w:sz w:val="24"/>
                <w:szCs w:val="24"/>
              </w:rPr>
            </w:pPr>
            <w:r>
              <w:rPr>
                <w:rFonts w:ascii="Times New Roman" w:hAnsi="Times New Roman" w:cs="Times New Roman"/>
                <w:color w:val="#000000"/>
                <w:sz w:val="24"/>
                <w:szCs w:val="24"/>
              </w:rPr>
              <w:t> Нередко руководство компании в силу объективных причин не понимает IT-специалистов. По представлению руководства, сотрудники IT-подразделения разговаривают на каком-то птичьем языке. Те, в свою очередь, не понимают бизнес-терминов, на основании которых строятся распоряжения руководства. Всё это приводит к росту издержек, выполнению лишней работы, что, конечно же, сказывается на эффективности деятельности компании.</w:t>
            </w:r>
          </w:p>
          <w:p>
            <w:pPr>
              <w:jc w:val="both"/>
              <w:spacing w:after="0" w:line="240" w:lineRule="auto"/>
              <w:rPr>
                <w:sz w:val="24"/>
                <w:szCs w:val="24"/>
              </w:rPr>
            </w:pPr>
            <w:r>
              <w:rPr>
                <w:rFonts w:ascii="Times New Roman" w:hAnsi="Times New Roman" w:cs="Times New Roman"/>
                <w:color w:val="#000000"/>
                <w:sz w:val="24"/>
                <w:szCs w:val="24"/>
              </w:rPr>
              <w:t> COBIT, благодаря единой терминологии, служит своеобразной платформой-буфером для конструктивного диалога между всеми участниками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Процессы управления сроками проекта</w:t>
            </w:r>
          </w:p>
          <w:p>
            <w:pPr>
              <w:jc w:val="both"/>
              <w:spacing w:after="0" w:line="240" w:lineRule="auto"/>
              <w:rPr>
                <w:sz w:val="24"/>
                <w:szCs w:val="24"/>
              </w:rPr>
            </w:pPr>
            <w:r>
              <w:rPr>
                <w:rFonts w:ascii="Times New Roman" w:hAnsi="Times New Roman" w:cs="Times New Roman"/>
                <w:color w:val="#000000"/>
                <w:sz w:val="24"/>
                <w:szCs w:val="24"/>
              </w:rPr>
              <w:t> 2.	Определение состава операций</w:t>
            </w:r>
          </w:p>
          <w:p>
            <w:pPr>
              <w:jc w:val="both"/>
              <w:spacing w:after="0" w:line="240" w:lineRule="auto"/>
              <w:rPr>
                <w:sz w:val="24"/>
                <w:szCs w:val="24"/>
              </w:rPr>
            </w:pPr>
            <w:r>
              <w:rPr>
                <w:rFonts w:ascii="Times New Roman" w:hAnsi="Times New Roman" w:cs="Times New Roman"/>
                <w:color w:val="#000000"/>
                <w:sz w:val="24"/>
                <w:szCs w:val="24"/>
              </w:rPr>
              <w:t> 3.	Оценка ресурсов операций</w:t>
            </w:r>
          </w:p>
          <w:p>
            <w:pPr>
              <w:jc w:val="both"/>
              <w:spacing w:after="0" w:line="240" w:lineRule="auto"/>
              <w:rPr>
                <w:sz w:val="24"/>
                <w:szCs w:val="24"/>
              </w:rPr>
            </w:pPr>
            <w:r>
              <w:rPr>
                <w:rFonts w:ascii="Times New Roman" w:hAnsi="Times New Roman" w:cs="Times New Roman"/>
                <w:color w:val="#000000"/>
                <w:sz w:val="24"/>
                <w:szCs w:val="24"/>
              </w:rPr>
              <w:t> 4.	Оценка длительности операций</w:t>
            </w:r>
          </w:p>
          <w:p>
            <w:pPr>
              <w:jc w:val="both"/>
              <w:spacing w:after="0" w:line="240" w:lineRule="auto"/>
              <w:rPr>
                <w:sz w:val="24"/>
                <w:szCs w:val="24"/>
              </w:rPr>
            </w:pPr>
            <w:r>
              <w:rPr>
                <w:rFonts w:ascii="Times New Roman" w:hAnsi="Times New Roman" w:cs="Times New Roman"/>
                <w:color w:val="#000000"/>
                <w:sz w:val="24"/>
                <w:szCs w:val="24"/>
              </w:rPr>
              <w:t> 5.	Разработка расписания</w:t>
            </w:r>
          </w:p>
          <w:p>
            <w:pPr>
              <w:jc w:val="both"/>
              <w:spacing w:after="0" w:line="240" w:lineRule="auto"/>
              <w:rPr>
                <w:sz w:val="24"/>
                <w:szCs w:val="24"/>
              </w:rPr>
            </w:pPr>
            <w:r>
              <w:rPr>
                <w:rFonts w:ascii="Times New Roman" w:hAnsi="Times New Roman" w:cs="Times New Roman"/>
                <w:color w:val="#000000"/>
                <w:sz w:val="24"/>
                <w:szCs w:val="24"/>
              </w:rPr>
              <w:t> 6.	Управление расписанием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стоимостью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Классификация оценок стоимости.</w:t>
            </w:r>
          </w:p>
          <w:p>
            <w:pPr>
              <w:jc w:val="both"/>
              <w:spacing w:after="0" w:line="240" w:lineRule="auto"/>
              <w:rPr>
                <w:sz w:val="24"/>
                <w:szCs w:val="24"/>
              </w:rPr>
            </w:pPr>
            <w:r>
              <w:rPr>
                <w:rFonts w:ascii="Times New Roman" w:hAnsi="Times New Roman" w:cs="Times New Roman"/>
                <w:color w:val="#000000"/>
                <w:sz w:val="24"/>
                <w:szCs w:val="24"/>
              </w:rPr>
              <w:t> 2.	Стоимостная оценка.</w:t>
            </w:r>
          </w:p>
          <w:p>
            <w:pPr>
              <w:jc w:val="both"/>
              <w:spacing w:after="0" w:line="240" w:lineRule="auto"/>
              <w:rPr>
                <w:sz w:val="24"/>
                <w:szCs w:val="24"/>
              </w:rPr>
            </w:pPr>
            <w:r>
              <w:rPr>
                <w:rFonts w:ascii="Times New Roman" w:hAnsi="Times New Roman" w:cs="Times New Roman"/>
                <w:color w:val="#000000"/>
                <w:sz w:val="24"/>
                <w:szCs w:val="24"/>
              </w:rPr>
              <w:t> 3.	Разработка бюджета расходов.</w:t>
            </w:r>
          </w:p>
          <w:p>
            <w:pPr>
              <w:jc w:val="both"/>
              <w:spacing w:after="0" w:line="240" w:lineRule="auto"/>
              <w:rPr>
                <w:sz w:val="24"/>
                <w:szCs w:val="24"/>
              </w:rPr>
            </w:pPr>
            <w:r>
              <w:rPr>
                <w:rFonts w:ascii="Times New Roman" w:hAnsi="Times New Roman" w:cs="Times New Roman"/>
                <w:color w:val="#000000"/>
                <w:sz w:val="24"/>
                <w:szCs w:val="24"/>
              </w:rPr>
              <w:t> 4.	Управление стоимостью.</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проектов по внедрению информационных систем» / Червенчк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ИТ-проектами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ИТ-проектами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http://www.iprbookshop.ru/72338.html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978-5-9909865-1-0.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http://www.iprbookshop.ru/81304.html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http://www.iprbookshop.ru/87505.html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60.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98.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2024-2025_ФГОС3++2024_Бак-ЗФО-ПИ(24)_plx_Оценка проектов по внедрению информационных систем_11111111</dc:title>
  <dc:creator>FastReport.NET</dc:creator>
</cp:coreProperties>
</file>